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B71E8B">
      <w:pPr>
        <w:spacing w:line="0" w:lineRule="atLeast"/>
        <w:jc w:val="left"/>
        <w:rPr>
          <w:rFonts w:hint="eastAsia" w:ascii="黑体" w:hAnsi="黑体" w:eastAsia="黑体" w:cs="黑体"/>
          <w:spacing w:val="-20"/>
          <w:sz w:val="32"/>
          <w:szCs w:val="32"/>
          <w:lang w:val="zh-CN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-20"/>
          <w:sz w:val="32"/>
          <w:szCs w:val="32"/>
          <w:lang w:val="zh-CN"/>
        </w:rPr>
        <w:t>附件</w:t>
      </w:r>
    </w:p>
    <w:p w14:paraId="1026545F">
      <w:pPr>
        <w:spacing w:line="0" w:lineRule="atLeast"/>
        <w:jc w:val="center"/>
        <w:rPr>
          <w:rFonts w:ascii="方正小标宋简体" w:hAnsi="方正小标宋简体" w:eastAsia="方正小标宋简体" w:cs="方正小标宋简体"/>
          <w:spacing w:val="0"/>
          <w:sz w:val="44"/>
          <w:szCs w:val="44"/>
          <w:lang w:val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zh-CN"/>
        </w:rPr>
        <w:t>永州市客运班线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经营期届满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及车辆数变更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等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zh-CN"/>
        </w:rPr>
        <w:t>许可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初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zh-CN"/>
        </w:rPr>
        <w:t>审意见表</w:t>
      </w:r>
    </w:p>
    <w:tbl>
      <w:tblPr>
        <w:tblStyle w:val="5"/>
        <w:tblpPr w:leftFromText="180" w:rightFromText="180" w:vertAnchor="text" w:horzAnchor="page" w:tblpXSpec="center" w:tblpY="315"/>
        <w:tblOverlap w:val="never"/>
        <w:tblW w:w="577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1510"/>
        <w:gridCol w:w="815"/>
        <w:gridCol w:w="1135"/>
        <w:gridCol w:w="1999"/>
        <w:gridCol w:w="1728"/>
        <w:gridCol w:w="1086"/>
        <w:gridCol w:w="787"/>
        <w:gridCol w:w="731"/>
        <w:gridCol w:w="815"/>
        <w:gridCol w:w="664"/>
        <w:gridCol w:w="1509"/>
        <w:gridCol w:w="1037"/>
        <w:gridCol w:w="1441"/>
      </w:tblGrid>
      <w:tr w14:paraId="47AC8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162" w:type="pct"/>
            <w:vAlign w:val="center"/>
          </w:tcPr>
          <w:p w14:paraId="6B64072C">
            <w:pPr>
              <w:spacing w:line="0" w:lineRule="atLeast"/>
              <w:jc w:val="center"/>
              <w:rPr>
                <w:rFonts w:ascii="仿宋" w:hAnsi="仿宋" w:eastAsia="仿宋" w:cs="仿宋"/>
                <w:b/>
                <w:spacing w:val="-11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spacing w:val="-11"/>
                <w:kern w:val="0"/>
                <w:sz w:val="24"/>
                <w:lang w:val="zh-CN"/>
              </w:rPr>
              <w:t>序号</w:t>
            </w:r>
          </w:p>
        </w:tc>
        <w:tc>
          <w:tcPr>
            <w:tcW w:w="478" w:type="pct"/>
            <w:vAlign w:val="center"/>
          </w:tcPr>
          <w:p w14:paraId="3B13515C">
            <w:pPr>
              <w:spacing w:line="0" w:lineRule="atLeast"/>
              <w:jc w:val="center"/>
              <w:rPr>
                <w:rFonts w:ascii="仿宋" w:hAnsi="仿宋" w:eastAsia="仿宋" w:cs="仿宋"/>
                <w:b/>
                <w:spacing w:val="-11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spacing w:val="-11"/>
                <w:kern w:val="0"/>
                <w:sz w:val="24"/>
                <w:lang w:val="zh-CN"/>
              </w:rPr>
              <w:t>经营者名称</w:t>
            </w:r>
          </w:p>
        </w:tc>
        <w:tc>
          <w:tcPr>
            <w:tcW w:w="258" w:type="pct"/>
            <w:vAlign w:val="center"/>
          </w:tcPr>
          <w:p w14:paraId="1A2ACDB7">
            <w:pPr>
              <w:spacing w:line="0" w:lineRule="atLeast"/>
              <w:jc w:val="center"/>
              <w:rPr>
                <w:rFonts w:ascii="仿宋" w:hAnsi="仿宋" w:eastAsia="仿宋" w:cs="仿宋"/>
                <w:b/>
                <w:spacing w:val="-11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spacing w:val="-11"/>
                <w:kern w:val="0"/>
                <w:sz w:val="24"/>
                <w:lang w:val="zh-CN"/>
              </w:rPr>
              <w:t>班线类型</w:t>
            </w:r>
          </w:p>
        </w:tc>
        <w:tc>
          <w:tcPr>
            <w:tcW w:w="360" w:type="pct"/>
            <w:vAlign w:val="center"/>
          </w:tcPr>
          <w:p w14:paraId="13A8C8D1">
            <w:pPr>
              <w:spacing w:line="0" w:lineRule="atLeast"/>
              <w:jc w:val="center"/>
              <w:rPr>
                <w:rFonts w:ascii="仿宋" w:hAnsi="仿宋" w:eastAsia="仿宋" w:cs="仿宋"/>
                <w:b/>
                <w:spacing w:val="-11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spacing w:val="-11"/>
                <w:kern w:val="0"/>
                <w:sz w:val="24"/>
                <w:lang w:val="zh-CN"/>
              </w:rPr>
              <w:t>起讫地</w:t>
            </w:r>
          </w:p>
        </w:tc>
        <w:tc>
          <w:tcPr>
            <w:tcW w:w="633" w:type="pct"/>
            <w:vAlign w:val="center"/>
          </w:tcPr>
          <w:p w14:paraId="256C07ED">
            <w:pPr>
              <w:spacing w:line="0" w:lineRule="atLeast"/>
              <w:jc w:val="center"/>
              <w:rPr>
                <w:rFonts w:ascii="仿宋" w:hAnsi="仿宋" w:eastAsia="仿宋" w:cs="仿宋"/>
                <w:b/>
                <w:spacing w:val="-11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spacing w:val="-11"/>
                <w:sz w:val="24"/>
                <w:lang w:val="zh-CN"/>
              </w:rPr>
              <w:t>申请事项</w:t>
            </w:r>
          </w:p>
        </w:tc>
        <w:tc>
          <w:tcPr>
            <w:tcW w:w="547" w:type="pct"/>
            <w:vAlign w:val="center"/>
          </w:tcPr>
          <w:p w14:paraId="0192FE47">
            <w:pPr>
              <w:spacing w:line="0" w:lineRule="atLeast"/>
              <w:jc w:val="center"/>
              <w:rPr>
                <w:rFonts w:ascii="仿宋" w:hAnsi="仿宋" w:eastAsia="仿宋" w:cs="仿宋"/>
                <w:b/>
                <w:spacing w:val="-11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spacing w:val="-11"/>
                <w:kern w:val="0"/>
                <w:sz w:val="24"/>
                <w:lang w:val="zh-CN"/>
              </w:rPr>
              <w:t>起讫站点</w:t>
            </w:r>
          </w:p>
        </w:tc>
        <w:tc>
          <w:tcPr>
            <w:tcW w:w="344" w:type="pct"/>
            <w:vAlign w:val="center"/>
          </w:tcPr>
          <w:p w14:paraId="76C9BC4B">
            <w:pPr>
              <w:spacing w:line="0" w:lineRule="atLeast"/>
              <w:jc w:val="center"/>
              <w:rPr>
                <w:rFonts w:ascii="仿宋" w:hAnsi="仿宋" w:eastAsia="仿宋" w:cs="仿宋"/>
                <w:b/>
                <w:spacing w:val="-1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pacing w:val="-11"/>
                <w:sz w:val="24"/>
              </w:rPr>
              <w:t>已许可中途停靠站点</w:t>
            </w:r>
          </w:p>
        </w:tc>
        <w:tc>
          <w:tcPr>
            <w:tcW w:w="249" w:type="pct"/>
            <w:vAlign w:val="center"/>
          </w:tcPr>
          <w:p w14:paraId="6C67FBE6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班次下限</w:t>
            </w:r>
          </w:p>
        </w:tc>
        <w:tc>
          <w:tcPr>
            <w:tcW w:w="231" w:type="pct"/>
            <w:vAlign w:val="center"/>
          </w:tcPr>
          <w:p w14:paraId="151B521B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车辆数</w:t>
            </w:r>
          </w:p>
        </w:tc>
        <w:tc>
          <w:tcPr>
            <w:tcW w:w="258" w:type="pct"/>
            <w:vAlign w:val="center"/>
          </w:tcPr>
          <w:p w14:paraId="67C75913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类型等级</w:t>
            </w:r>
          </w:p>
        </w:tc>
        <w:tc>
          <w:tcPr>
            <w:tcW w:w="210" w:type="pct"/>
            <w:vAlign w:val="center"/>
          </w:tcPr>
          <w:p w14:paraId="4A8F518C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技术等级</w:t>
            </w:r>
          </w:p>
        </w:tc>
        <w:tc>
          <w:tcPr>
            <w:tcW w:w="478" w:type="pct"/>
            <w:vAlign w:val="center"/>
          </w:tcPr>
          <w:p w14:paraId="4860161A">
            <w:pPr>
              <w:spacing w:line="0" w:lineRule="atLeast"/>
              <w:jc w:val="center"/>
              <w:rPr>
                <w:rFonts w:ascii="仿宋" w:hAnsi="仿宋" w:eastAsia="仿宋" w:cs="仿宋"/>
                <w:b/>
                <w:spacing w:val="-11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spacing w:val="-11"/>
                <w:kern w:val="0"/>
                <w:sz w:val="24"/>
                <w:lang w:val="zh-CN"/>
              </w:rPr>
              <w:t>相关市县区意见</w:t>
            </w:r>
          </w:p>
        </w:tc>
        <w:tc>
          <w:tcPr>
            <w:tcW w:w="328" w:type="pct"/>
            <w:vAlign w:val="center"/>
          </w:tcPr>
          <w:p w14:paraId="624FC74A"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spacing w:val="-11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spacing w:val="-11"/>
                <w:kern w:val="0"/>
                <w:sz w:val="24"/>
              </w:rPr>
              <w:t>初</w:t>
            </w:r>
            <w:r>
              <w:rPr>
                <w:rFonts w:hint="eastAsia" w:ascii="仿宋" w:hAnsi="仿宋" w:eastAsia="仿宋" w:cs="仿宋"/>
                <w:b/>
                <w:spacing w:val="-11"/>
                <w:kern w:val="0"/>
                <w:sz w:val="24"/>
                <w:lang w:val="zh-CN"/>
              </w:rPr>
              <w:t>审</w:t>
            </w:r>
          </w:p>
          <w:p w14:paraId="689955A2">
            <w:pPr>
              <w:spacing w:line="0" w:lineRule="atLeast"/>
              <w:jc w:val="center"/>
              <w:rPr>
                <w:rFonts w:ascii="仿宋" w:hAnsi="仿宋" w:eastAsia="仿宋" w:cs="仿宋"/>
                <w:b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pacing w:val="-11"/>
                <w:kern w:val="0"/>
                <w:sz w:val="24"/>
                <w:lang w:val="zh-CN"/>
              </w:rPr>
              <w:t>意见</w:t>
            </w:r>
          </w:p>
        </w:tc>
        <w:tc>
          <w:tcPr>
            <w:tcW w:w="456" w:type="pct"/>
            <w:vAlign w:val="center"/>
          </w:tcPr>
          <w:p w14:paraId="2F4147B5">
            <w:pPr>
              <w:spacing w:line="0" w:lineRule="atLeast"/>
              <w:jc w:val="center"/>
              <w:rPr>
                <w:rFonts w:ascii="仿宋" w:hAnsi="仿宋" w:eastAsia="仿宋" w:cs="仿宋"/>
                <w:b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pacing w:val="-11"/>
                <w:kern w:val="0"/>
                <w:sz w:val="24"/>
              </w:rPr>
              <w:t>备注</w:t>
            </w:r>
          </w:p>
        </w:tc>
      </w:tr>
      <w:tr w14:paraId="2B424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162" w:type="pct"/>
            <w:shd w:val="clear" w:color="auto" w:fill="auto"/>
            <w:vAlign w:val="center"/>
          </w:tcPr>
          <w:p w14:paraId="3A872A2E">
            <w:pPr>
              <w:spacing w:line="0" w:lineRule="atLeast"/>
              <w:jc w:val="center"/>
              <w:rPr>
                <w:rFonts w:ascii="仿宋" w:hAnsi="仿宋" w:eastAsia="仿宋" w:cs="仿宋"/>
                <w:bCs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1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4D2602A7">
            <w:pPr>
              <w:spacing w:line="0" w:lineRule="atLeast"/>
              <w:rPr>
                <w:rFonts w:ascii="仿宋" w:hAnsi="仿宋" w:eastAsia="仿宋" w:cs="仿宋"/>
                <w:bCs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湖南省永州汽车运输总公司</w:t>
            </w:r>
          </w:p>
          <w:p w14:paraId="77C82287">
            <w:pPr>
              <w:spacing w:line="0" w:lineRule="atLeast"/>
              <w:rPr>
                <w:rFonts w:ascii="仿宋" w:hAnsi="仿宋" w:eastAsia="仿宋" w:cs="仿宋"/>
                <w:bCs/>
                <w:spacing w:val="-11"/>
                <w:kern w:val="0"/>
                <w:sz w:val="24"/>
                <w:lang w:val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144A11F5">
            <w:pPr>
              <w:spacing w:line="0" w:lineRule="atLeast"/>
              <w:jc w:val="center"/>
              <w:rPr>
                <w:rFonts w:ascii="仿宋" w:hAnsi="仿宋" w:eastAsia="仿宋" w:cs="仿宋"/>
                <w:bCs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二</w:t>
            </w: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类班线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54766C91">
            <w:pPr>
              <w:spacing w:line="0" w:lineRule="atLeast"/>
              <w:jc w:val="center"/>
              <w:rPr>
                <w:rFonts w:hint="default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永州</w:t>
            </w: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冷水滩</w:t>
            </w: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至</w:t>
            </w: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长沙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0A4FD1D2">
            <w:pPr>
              <w:spacing w:line="0" w:lineRule="atLeast"/>
              <w:jc w:val="both"/>
              <w:rPr>
                <w:rFonts w:hint="default" w:ascii="仿宋" w:hAnsi="仿宋" w:eastAsia="仿宋"/>
                <w:bCs/>
                <w:spacing w:val="-11"/>
                <w:kern w:val="0"/>
                <w:sz w:val="24"/>
                <w:lang w:val="en-US"/>
              </w:rPr>
            </w:pPr>
            <w:r>
              <w:rPr>
                <w:rFonts w:hint="eastAsia" w:ascii="仿宋" w:hAnsi="仿宋" w:eastAsia="仿宋"/>
                <w:bCs/>
                <w:spacing w:val="-11"/>
                <w:kern w:val="0"/>
                <w:sz w:val="24"/>
                <w:lang w:val="en-US" w:eastAsia="zh-CN"/>
              </w:rPr>
              <w:t>永交道客运班线许决字〔2021〕第117</w:t>
            </w:r>
            <w:r>
              <w:rPr>
                <w:rFonts w:hint="eastAsia" w:ascii="仿宋" w:hAnsi="仿宋" w:eastAsia="仿宋"/>
                <w:bCs/>
                <w:spacing w:val="-11"/>
                <w:kern w:val="0"/>
                <w:sz w:val="24"/>
              </w:rPr>
              <w:t>号客运班线</w:t>
            </w:r>
            <w:r>
              <w:rPr>
                <w:rFonts w:hint="eastAsia" w:ascii="仿宋" w:hAnsi="仿宋" w:eastAsia="仿宋"/>
                <w:bCs/>
                <w:spacing w:val="-11"/>
                <w:kern w:val="0"/>
                <w:sz w:val="24"/>
                <w:lang w:val="en-US" w:eastAsia="zh-CN"/>
              </w:rPr>
              <w:t>拟变更车辆数为5台</w:t>
            </w:r>
          </w:p>
        </w:tc>
        <w:tc>
          <w:tcPr>
            <w:tcW w:w="547" w:type="pct"/>
            <w:shd w:val="clear" w:color="auto" w:fill="auto"/>
            <w:vAlign w:val="center"/>
          </w:tcPr>
          <w:p w14:paraId="28BE3D8A">
            <w:pPr>
              <w:spacing w:line="0" w:lineRule="atLeast"/>
              <w:rPr>
                <w:rFonts w:ascii="仿宋" w:hAnsi="仿宋" w:eastAsia="仿宋" w:cs="仿宋"/>
                <w:bCs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永州汽车</w:t>
            </w: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站至</w:t>
            </w: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长沙</w:t>
            </w: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汽车</w:t>
            </w: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南</w:t>
            </w: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站</w:t>
            </w:r>
          </w:p>
        </w:tc>
        <w:tc>
          <w:tcPr>
            <w:tcW w:w="344" w:type="pct"/>
            <w:shd w:val="clear" w:color="auto" w:fill="auto"/>
            <w:vAlign w:val="center"/>
          </w:tcPr>
          <w:p w14:paraId="6CE01CCB">
            <w:pPr>
              <w:spacing w:line="0" w:lineRule="atLeast"/>
              <w:jc w:val="center"/>
              <w:rPr>
                <w:rFonts w:ascii="仿宋" w:hAnsi="仿宋" w:eastAsia="仿宋" w:cs="仿宋"/>
                <w:bCs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无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0CE1670B">
            <w:pPr>
              <w:spacing w:line="0" w:lineRule="atLeast"/>
              <w:jc w:val="center"/>
              <w:rPr>
                <w:rFonts w:hint="default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1.0</w:t>
            </w:r>
          </w:p>
        </w:tc>
        <w:tc>
          <w:tcPr>
            <w:tcW w:w="231" w:type="pct"/>
            <w:shd w:val="clear" w:color="auto" w:fill="auto"/>
            <w:vAlign w:val="center"/>
          </w:tcPr>
          <w:p w14:paraId="37B71C26">
            <w:pPr>
              <w:spacing w:line="0" w:lineRule="atLeast"/>
              <w:jc w:val="center"/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1-</w:t>
            </w: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58" w:type="pct"/>
            <w:shd w:val="clear" w:color="auto" w:fill="auto"/>
            <w:vAlign w:val="center"/>
          </w:tcPr>
          <w:p w14:paraId="68D0AC2B">
            <w:pPr>
              <w:spacing w:line="0" w:lineRule="atLeast"/>
              <w:jc w:val="center"/>
              <w:rPr>
                <w:rFonts w:hint="default" w:ascii="仿宋" w:hAnsi="仿宋" w:eastAsia="仿宋" w:cs="仿宋"/>
                <w:bCs/>
                <w:color w:val="FF0000"/>
                <w:spacing w:val="-11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-11"/>
                <w:kern w:val="0"/>
                <w:sz w:val="21"/>
                <w:szCs w:val="21"/>
                <w:lang w:val="en-US" w:eastAsia="zh-CN"/>
              </w:rPr>
              <w:t>乘用车高级</w:t>
            </w:r>
          </w:p>
        </w:tc>
        <w:tc>
          <w:tcPr>
            <w:tcW w:w="210" w:type="pct"/>
            <w:shd w:val="clear" w:color="auto" w:fill="auto"/>
            <w:vAlign w:val="center"/>
          </w:tcPr>
          <w:p w14:paraId="2485CD9C">
            <w:pPr>
              <w:spacing w:line="0" w:lineRule="atLeast"/>
              <w:jc w:val="center"/>
              <w:rPr>
                <w:rFonts w:ascii="仿宋" w:hAnsi="仿宋" w:eastAsia="仿宋" w:cs="仿宋"/>
                <w:bCs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壹级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6335983A">
            <w:pPr>
              <w:spacing w:line="0" w:lineRule="atLeast"/>
              <w:jc w:val="both"/>
              <w:rPr>
                <w:rFonts w:hint="default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长沙市交通运输局同意，冷水滩区交通运输局同意</w:t>
            </w:r>
          </w:p>
        </w:tc>
        <w:tc>
          <w:tcPr>
            <w:tcW w:w="328" w:type="pct"/>
            <w:shd w:val="clear" w:color="auto" w:fill="auto"/>
            <w:vAlign w:val="center"/>
          </w:tcPr>
          <w:p w14:paraId="4F8A1A81">
            <w:pPr>
              <w:spacing w:line="0" w:lineRule="atLeast"/>
              <w:jc w:val="center"/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同意</w:t>
            </w:r>
          </w:p>
        </w:tc>
        <w:tc>
          <w:tcPr>
            <w:tcW w:w="456" w:type="pct"/>
            <w:shd w:val="clear" w:color="auto" w:fill="auto"/>
            <w:vAlign w:val="center"/>
          </w:tcPr>
          <w:p w14:paraId="2E399343">
            <w:pPr>
              <w:spacing w:line="0" w:lineRule="atLeast"/>
              <w:jc w:val="left"/>
              <w:rPr>
                <w:rFonts w:hint="default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拟开通定制客运</w:t>
            </w:r>
          </w:p>
        </w:tc>
      </w:tr>
      <w:tr w14:paraId="24BD6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1" w:hRule="atLeast"/>
          <w:jc w:val="center"/>
        </w:trPr>
        <w:tc>
          <w:tcPr>
            <w:tcW w:w="162" w:type="pct"/>
            <w:shd w:val="clear" w:color="auto" w:fill="auto"/>
            <w:vAlign w:val="center"/>
          </w:tcPr>
          <w:p w14:paraId="12C83F89">
            <w:pPr>
              <w:spacing w:line="0" w:lineRule="atLeast"/>
              <w:jc w:val="center"/>
              <w:rPr>
                <w:rFonts w:ascii="仿宋" w:hAnsi="仿宋" w:eastAsia="仿宋" w:cs="仿宋"/>
                <w:bCs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2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67FD09F9">
            <w:pPr>
              <w:spacing w:line="0" w:lineRule="atLeast"/>
              <w:jc w:val="left"/>
              <w:rPr>
                <w:rFonts w:ascii="仿宋" w:hAnsi="仿宋" w:eastAsia="仿宋" w:cs="仿宋"/>
                <w:b w:val="0"/>
                <w:bCs/>
                <w:spacing w:val="-11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b w:val="0"/>
                <w:bCs/>
                <w:sz w:val="24"/>
                <w:szCs w:val="24"/>
              </w:rPr>
              <w:t>宁远县交通运输总公司</w:t>
            </w:r>
          </w:p>
          <w:p w14:paraId="1AE1C17A">
            <w:pPr>
              <w:spacing w:line="0" w:lineRule="atLeast"/>
              <w:rPr>
                <w:rFonts w:ascii="仿宋" w:hAnsi="仿宋" w:eastAsia="仿宋" w:cs="仿宋"/>
                <w:bCs/>
                <w:spacing w:val="-11"/>
                <w:kern w:val="0"/>
                <w:sz w:val="24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7E1754ED">
            <w:pPr>
              <w:spacing w:line="0" w:lineRule="atLeast"/>
              <w:jc w:val="center"/>
              <w:rPr>
                <w:rFonts w:ascii="仿宋" w:hAnsi="仿宋" w:eastAsia="仿宋" w:cs="仿宋"/>
                <w:bCs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类班线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5FBD7397">
            <w:pPr>
              <w:spacing w:line="0" w:lineRule="atLeast"/>
              <w:jc w:val="center"/>
              <w:rPr>
                <w:rFonts w:hint="default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宁远</w:t>
            </w: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至</w:t>
            </w: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冷水滩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5A1CD65C">
            <w:pPr>
              <w:spacing w:line="0" w:lineRule="atLeast"/>
              <w:jc w:val="left"/>
              <w:rPr>
                <w:rFonts w:hint="default" w:ascii="仿宋" w:hAnsi="仿宋" w:eastAsia="仿宋"/>
                <w:bCs/>
                <w:spacing w:val="-11"/>
                <w:kern w:val="0"/>
                <w:sz w:val="24"/>
                <w:lang w:val="en-US"/>
              </w:rPr>
            </w:pPr>
            <w:r>
              <w:rPr>
                <w:rFonts w:hint="eastAsia" w:ascii="仿宋" w:hAnsi="仿宋" w:eastAsia="仿宋"/>
                <w:b w:val="0"/>
                <w:bCs/>
                <w:sz w:val="21"/>
                <w:szCs w:val="21"/>
                <w:lang w:val="en-US" w:eastAsia="zh-CN"/>
              </w:rPr>
              <w:t>永运班字号118039经营期届满，合并：永交道客运班线许决字（2021）第77号；（2021）第94号；（2022）第08号；（2022）第61号；〔2024〕第22号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.</w:t>
            </w:r>
          </w:p>
        </w:tc>
        <w:tc>
          <w:tcPr>
            <w:tcW w:w="547" w:type="pct"/>
            <w:shd w:val="clear" w:color="auto" w:fill="auto"/>
            <w:vAlign w:val="center"/>
          </w:tcPr>
          <w:p w14:paraId="390B74B3">
            <w:pPr>
              <w:spacing w:line="0" w:lineRule="atLeast"/>
              <w:rPr>
                <w:rFonts w:hint="default" w:ascii="仿宋" w:hAnsi="仿宋" w:eastAsia="仿宋" w:cs="仿宋"/>
                <w:bCs/>
                <w:spacing w:val="-11"/>
                <w:kern w:val="0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</w:rPr>
              <w:t>宁远县汽车总站至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永州汽车站</w:t>
            </w:r>
          </w:p>
        </w:tc>
        <w:tc>
          <w:tcPr>
            <w:tcW w:w="344" w:type="pct"/>
            <w:shd w:val="clear" w:color="auto" w:fill="auto"/>
            <w:vAlign w:val="center"/>
          </w:tcPr>
          <w:p w14:paraId="01E68A43">
            <w:pPr>
              <w:spacing w:line="0" w:lineRule="atLeast"/>
              <w:jc w:val="center"/>
              <w:rPr>
                <w:rFonts w:ascii="仿宋" w:hAnsi="仿宋" w:eastAsia="仿宋" w:cs="仿宋"/>
                <w:bCs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无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4A9986F0">
            <w:pPr>
              <w:spacing w:line="0" w:lineRule="atLeast"/>
              <w:jc w:val="center"/>
              <w:rPr>
                <w:rFonts w:ascii="仿宋" w:hAnsi="仿宋" w:eastAsia="仿宋" w:cs="仿宋"/>
                <w:bCs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1.0</w:t>
            </w:r>
          </w:p>
        </w:tc>
        <w:tc>
          <w:tcPr>
            <w:tcW w:w="231" w:type="pct"/>
            <w:shd w:val="clear" w:color="auto" w:fill="auto"/>
            <w:vAlign w:val="center"/>
          </w:tcPr>
          <w:p w14:paraId="08035C21">
            <w:pPr>
              <w:spacing w:line="0" w:lineRule="atLeast"/>
              <w:jc w:val="center"/>
              <w:rPr>
                <w:rFonts w:ascii="仿宋" w:hAnsi="仿宋" w:eastAsia="仿宋" w:cs="仿宋"/>
                <w:bCs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1-</w:t>
            </w: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58" w:type="pct"/>
            <w:shd w:val="clear" w:color="auto" w:fill="auto"/>
            <w:vAlign w:val="center"/>
          </w:tcPr>
          <w:p w14:paraId="154A8708">
            <w:pPr>
              <w:spacing w:line="0" w:lineRule="atLeast"/>
              <w:jc w:val="center"/>
              <w:rPr>
                <w:rFonts w:hint="eastAsia" w:ascii="仿宋" w:hAnsi="仿宋" w:eastAsia="仿宋_GB2312" w:cs="仿宋"/>
                <w:bCs/>
                <w:color w:val="auto"/>
                <w:spacing w:val="-11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型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现有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10" w:type="pct"/>
            <w:shd w:val="clear" w:color="auto" w:fill="auto"/>
            <w:vAlign w:val="center"/>
          </w:tcPr>
          <w:p w14:paraId="220ED5F1">
            <w:pPr>
              <w:spacing w:line="0" w:lineRule="atLeast"/>
              <w:jc w:val="center"/>
              <w:rPr>
                <w:rFonts w:ascii="仿宋" w:hAnsi="仿宋" w:eastAsia="仿宋" w:cs="仿宋"/>
                <w:bCs/>
                <w:color w:val="auto"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壹级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0221194B">
            <w:pPr>
              <w:spacing w:line="0" w:lineRule="atLeast"/>
              <w:jc w:val="center"/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无需征</w:t>
            </w:r>
          </w:p>
          <w:p w14:paraId="73570F8C">
            <w:pPr>
              <w:spacing w:line="0" w:lineRule="atLeast"/>
              <w:jc w:val="center"/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求意见</w:t>
            </w:r>
          </w:p>
        </w:tc>
        <w:tc>
          <w:tcPr>
            <w:tcW w:w="328" w:type="pct"/>
            <w:shd w:val="clear" w:color="auto" w:fill="auto"/>
            <w:vAlign w:val="center"/>
          </w:tcPr>
          <w:p w14:paraId="6294122B">
            <w:pPr>
              <w:spacing w:line="0" w:lineRule="atLeast"/>
              <w:jc w:val="center"/>
              <w:rPr>
                <w:rFonts w:ascii="仿宋" w:hAnsi="仿宋" w:eastAsia="仿宋" w:cs="仿宋"/>
                <w:bCs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同意</w:t>
            </w:r>
          </w:p>
        </w:tc>
        <w:tc>
          <w:tcPr>
            <w:tcW w:w="456" w:type="pct"/>
            <w:shd w:val="clear" w:color="auto" w:fill="auto"/>
            <w:vAlign w:val="center"/>
          </w:tcPr>
          <w:p w14:paraId="0E083328">
            <w:pPr>
              <w:spacing w:line="0" w:lineRule="atLeast"/>
              <w:rPr>
                <w:rFonts w:hint="default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</w:pPr>
          </w:p>
        </w:tc>
      </w:tr>
      <w:tr w14:paraId="533F5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1" w:hRule="atLeast"/>
          <w:jc w:val="center"/>
        </w:trPr>
        <w:tc>
          <w:tcPr>
            <w:tcW w:w="162" w:type="pct"/>
            <w:shd w:val="clear" w:color="auto" w:fill="auto"/>
            <w:vAlign w:val="center"/>
          </w:tcPr>
          <w:p w14:paraId="2AB96696">
            <w:pPr>
              <w:spacing w:line="0" w:lineRule="atLeast"/>
              <w:jc w:val="center"/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3AEECFC9">
            <w:pPr>
              <w:spacing w:line="0" w:lineRule="atLeast"/>
              <w:jc w:val="left"/>
              <w:rPr>
                <w:rFonts w:ascii="仿宋" w:hAnsi="仿宋" w:eastAsia="仿宋" w:cs="仿宋"/>
                <w:b w:val="0"/>
                <w:bCs/>
                <w:spacing w:val="-11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b w:val="0"/>
                <w:bCs/>
                <w:sz w:val="24"/>
                <w:szCs w:val="24"/>
              </w:rPr>
              <w:t>宁远县交通运输总公司</w:t>
            </w:r>
          </w:p>
          <w:p w14:paraId="3EB437CB">
            <w:pPr>
              <w:spacing w:line="0" w:lineRule="atLeast"/>
              <w:rPr>
                <w:rFonts w:ascii="仿宋" w:hAnsi="仿宋" w:eastAsia="仿宋" w:cs="仿宋"/>
                <w:bCs/>
                <w:spacing w:val="-11"/>
                <w:kern w:val="0"/>
                <w:sz w:val="24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5840C231">
            <w:pPr>
              <w:spacing w:line="0" w:lineRule="atLeast"/>
              <w:jc w:val="center"/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类班线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10AFCE05">
            <w:pPr>
              <w:spacing w:line="0" w:lineRule="atLeast"/>
              <w:jc w:val="center"/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宁远</w:t>
            </w: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  <w:t>至</w:t>
            </w: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惠州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543FC899">
            <w:pPr>
              <w:spacing w:line="0" w:lineRule="atLeast"/>
              <w:jc w:val="left"/>
              <w:rPr>
                <w:rFonts w:hint="eastAsia" w:ascii="仿宋" w:hAnsi="仿宋" w:eastAsia="仿宋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1"/>
                <w:szCs w:val="21"/>
                <w:lang w:val="en-US" w:eastAsia="zh-CN"/>
              </w:rPr>
              <w:t>2021--047许可拟新增惠州市惠阳汽车客运站为中途停靠站点</w:t>
            </w:r>
          </w:p>
        </w:tc>
        <w:tc>
          <w:tcPr>
            <w:tcW w:w="547" w:type="pct"/>
            <w:shd w:val="clear" w:color="auto" w:fill="auto"/>
            <w:vAlign w:val="center"/>
          </w:tcPr>
          <w:p w14:paraId="3D4A6E09">
            <w:pPr>
              <w:spacing w:line="0" w:lineRule="atLeast"/>
              <w:rPr>
                <w:rFonts w:hint="eastAsia" w:ascii="仿宋" w:hAnsi="仿宋" w:eastAsia="仿宋" w:cs="仿宋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</w:rPr>
              <w:t xml:space="preserve">宁远县汽车总站 至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惠州市汽车客运站</w:t>
            </w:r>
          </w:p>
        </w:tc>
        <w:tc>
          <w:tcPr>
            <w:tcW w:w="344" w:type="pct"/>
            <w:shd w:val="clear" w:color="auto" w:fill="auto"/>
            <w:vAlign w:val="center"/>
          </w:tcPr>
          <w:p w14:paraId="79915822">
            <w:pPr>
              <w:spacing w:line="0" w:lineRule="atLeast"/>
              <w:jc w:val="center"/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25BEABC4">
            <w:pPr>
              <w:spacing w:line="0" w:lineRule="atLeast"/>
              <w:jc w:val="center"/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0.5</w:t>
            </w:r>
          </w:p>
        </w:tc>
        <w:tc>
          <w:tcPr>
            <w:tcW w:w="231" w:type="pct"/>
            <w:shd w:val="clear" w:color="auto" w:fill="auto"/>
            <w:vAlign w:val="center"/>
          </w:tcPr>
          <w:p w14:paraId="7AEAD67E">
            <w:pPr>
              <w:spacing w:line="0" w:lineRule="atLeast"/>
              <w:jc w:val="center"/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1-1</w:t>
            </w:r>
          </w:p>
        </w:tc>
        <w:tc>
          <w:tcPr>
            <w:tcW w:w="258" w:type="pct"/>
            <w:shd w:val="clear" w:color="auto" w:fill="auto"/>
            <w:vAlign w:val="center"/>
          </w:tcPr>
          <w:p w14:paraId="589B8175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大型高一级</w:t>
            </w:r>
          </w:p>
        </w:tc>
        <w:tc>
          <w:tcPr>
            <w:tcW w:w="210" w:type="pct"/>
            <w:shd w:val="clear" w:color="auto" w:fill="auto"/>
            <w:vAlign w:val="center"/>
          </w:tcPr>
          <w:p w14:paraId="6224A3D8">
            <w:pPr>
              <w:spacing w:line="0" w:lineRule="atLeast"/>
              <w:jc w:val="center"/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壹级</w:t>
            </w:r>
          </w:p>
        </w:tc>
        <w:tc>
          <w:tcPr>
            <w:tcW w:w="478" w:type="pct"/>
            <w:shd w:val="clear" w:color="auto" w:fill="auto"/>
            <w:vAlign w:val="center"/>
          </w:tcPr>
          <w:p w14:paraId="41EA4118">
            <w:pPr>
              <w:spacing w:line="0" w:lineRule="atLeast"/>
              <w:jc w:val="both"/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惠州市交通运输局同意，宁远县交通运输局同意</w:t>
            </w:r>
          </w:p>
        </w:tc>
        <w:tc>
          <w:tcPr>
            <w:tcW w:w="328" w:type="pct"/>
            <w:shd w:val="clear" w:color="auto" w:fill="auto"/>
            <w:vAlign w:val="center"/>
          </w:tcPr>
          <w:p w14:paraId="2C1EFD51">
            <w:pPr>
              <w:spacing w:line="0" w:lineRule="atLeast"/>
              <w:jc w:val="center"/>
              <w:rPr>
                <w:rFonts w:ascii="仿宋" w:hAnsi="仿宋" w:eastAsia="仿宋" w:cs="仿宋"/>
                <w:bCs/>
                <w:spacing w:val="-11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  <w:t>同意</w:t>
            </w:r>
          </w:p>
        </w:tc>
        <w:tc>
          <w:tcPr>
            <w:tcW w:w="456" w:type="pct"/>
            <w:shd w:val="clear" w:color="auto" w:fill="auto"/>
            <w:vAlign w:val="center"/>
          </w:tcPr>
          <w:p w14:paraId="4E2090F5">
            <w:pPr>
              <w:spacing w:line="0" w:lineRule="atLeast"/>
              <w:rPr>
                <w:rFonts w:hint="default" w:ascii="仿宋" w:hAnsi="仿宋" w:eastAsia="仿宋" w:cs="仿宋"/>
                <w:bCs/>
                <w:spacing w:val="-11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1"/>
                <w:szCs w:val="21"/>
                <w:lang w:val="en-US" w:eastAsia="zh-CN"/>
              </w:rPr>
              <w:t>拟新增惠州市惠阳汽车客运站为中途停靠站点</w:t>
            </w:r>
          </w:p>
        </w:tc>
      </w:tr>
    </w:tbl>
    <w:p w14:paraId="70C899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sectPr>
      <w:headerReference r:id="rId3" w:type="default"/>
      <w:footerReference r:id="rId4" w:type="default"/>
      <w:pgSz w:w="16840" w:h="11907" w:orient="landscape"/>
      <w:pgMar w:top="1134" w:right="1701" w:bottom="1134" w:left="1701" w:header="851" w:footer="284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3C2D4ADB-E775-4339-B401-6DAFDC95DDD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EFEFD6D-9309-4E3A-9193-63C1019F589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B0090BAD-09F0-40D0-8241-DFBDFB89169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30770F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488BE99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AKIh/c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88BE99"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7373ED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CF2316"/>
    <w:rsid w:val="293A0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616</Words>
  <Characters>693</Characters>
  <Lines>0</Lines>
  <Paragraphs>0</Paragraphs>
  <TotalTime>16</TotalTime>
  <ScaleCrop>false</ScaleCrop>
  <LinksUpToDate>false</LinksUpToDate>
  <CharactersWithSpaces>695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2025-11-27T01:43:00Z</dcterms:created>
  <dc:creator>Administrator</dc:creator>
  <cp:lastModifiedBy>子曰</cp:lastModifiedBy>
  <dcterms:modified xsi:type="dcterms:W3CDTF">2025-11-27T02:44:11Z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KSOTemplateDocerSaveRecord">
    <vt:lpwstr>eyJoZGlkIjoiNmZjNGE1MTRkYTAzM2NmMjMyOTAwOTY1ZjRmNDBhOTkiLCJ1c2VySWQiOiIzNTM2MjA5NzgifQ==</vt:lpwstr>
  </property>
  <property fmtid="{D5CDD505-2E9C-101B-9397-08002B2CF9AE}" pid="4" name="ICV">
    <vt:lpwstr>059D03A53B6840F29F0FBA0D55490C1A_12</vt:lpwstr>
  </property>
</Properties>
</file>